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4.png" ContentType="image/png"/>
  <Override PartName="/word/media/rId32.png" ContentType="image/png"/>
  <Override PartName="/word/media/rId40.png" ContentType="image/png"/>
  <Override PartName="/word/media/rId53.png" ContentType="image/png"/>
  <Override PartName="/word/media/rId61.png" ContentType="image/png"/>
  <Override PartName="/word/media/rId44.png" ContentType="image/png"/>
  <Override PartName="/word/media/rId36.png" ContentType="image/png"/>
  <Override PartName="/word/media/rId28.png" ContentType="image/png"/>
  <Override PartName="/word/media/rId69.png" ContentType="image/png"/>
  <Override PartName="/word/media/rId57.png" ContentType="image/png"/>
  <Override PartName="/word/media/rId24.png" ContentType="image/png"/>
  <Override PartName="/word/media/rId49.png" ContentType="image/png"/>
  <Override PartName="/word/media/rId6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ISTAT - Benessere Equo e Sostenibile (BES)</w:t>
      </w:r>
    </w:p>
    <w:p>
      <w:pPr>
        <w:pStyle w:val="Subtitle"/>
      </w:pPr>
      <w:r>
        <w:t xml:space="preserve">Aggiornamento 2025</w:t>
      </w:r>
    </w:p>
    <w:p>
      <w:pPr>
        <w:pStyle w:val="Date"/>
      </w:pPr>
      <w:r>
        <w:t xml:space="preserve">01-gennaio-2026</w:t>
      </w:r>
    </w:p>
    <w:bookmarkStart w:id="21" w:name="dati-benessere-e-sostenibilita"/>
    <w:p>
      <w:pPr>
        <w:pStyle w:val="Heading2"/>
      </w:pPr>
      <w:r>
        <w:t xml:space="preserve">Dati Benessere e sostenibilita’</w:t>
      </w:r>
    </w:p>
    <w:p>
      <w:pPr>
        <w:pStyle w:val="FirstParagraph"/>
      </w:pPr>
      <w:r>
        <w:t xml:space="preserve">I dati di seguito vengono da</w:t>
      </w:r>
      <w:r>
        <w:t xml:space="preserve"> </w:t>
      </w:r>
      <w:hyperlink r:id="rId20">
        <w:r>
          <w:rPr>
            <w:rStyle w:val="Hyperlink"/>
          </w:rPr>
          <w:t xml:space="preserve">IstatData - BES (Benessere Equo e Sostenibile)</w:t>
        </w:r>
      </w:hyperlink>
      <w:r>
        <w:t xml:space="preserve">, che, a sua volta, attinge a varie fonti Istat e non-Istat.</w:t>
      </w:r>
    </w:p>
    <w:bookmarkEnd w:id="21"/>
    <w:bookmarkStart w:id="48" w:name="economia-e-disuguaglianze"/>
    <w:p>
      <w:pPr>
        <w:pStyle w:val="Heading2"/>
      </w:pPr>
      <w:r>
        <w:t xml:space="preserve">Economia e disuguaglianze</w:t>
      </w:r>
    </w:p>
    <w:bookmarkStart w:id="23" w:name="tbl-reddito-medio-disponibile-pro-capite"/>
    <w:p>
      <w:pPr>
        <w:pStyle w:val="Heading3"/>
      </w:pPr>
      <w:r>
        <w:t xml:space="preserve">[Tbl] Reddito medio disponibile pro capite</w:t>
      </w:r>
    </w:p>
    <w:p>
      <w:pPr>
        <w:pStyle w:val="FirstParagraph"/>
      </w:pPr>
      <w:r>
        <w:t xml:space="preserve">Qs tabella è copiata a mano da</w:t>
      </w:r>
      <w:r>
        <w:t xml:space="preserve"> </w:t>
      </w:r>
      <w:hyperlink r:id="rId20">
        <w:r>
          <w:rPr>
            <w:rStyle w:val="Hyperlink"/>
          </w:rPr>
          <w:t xml:space="preserve">IstatData</w:t>
        </w:r>
      </w:hyperlink>
    </w:p>
    <w:p>
      <w:pPr>
        <w:pStyle w:val="BodyText"/>
      </w:pPr>
      <w:r>
        <w:rPr>
          <w:b/>
          <w:bCs/>
        </w:rPr>
        <w:t xml:space="preserve">Reddito medio disponibile pro capite (€)</w:t>
      </w:r>
      <w:r>
        <w:t xml:space="preserve"> </w:t>
      </w:r>
      <w:r>
        <w:t xml:space="preserve">= si tratta di un</w:t>
      </w:r>
      <w:r>
        <w:t xml:space="preserve"> </w:t>
      </w:r>
      <w:r>
        <w:rPr>
          <w:i/>
          <w:iCs/>
        </w:rPr>
        <w:t xml:space="preserve">aggregato di contabilità nazionale</w:t>
      </w:r>
      <w:r>
        <w:t xml:space="preserve"> </w:t>
      </w:r>
      <w:r>
        <w:t xml:space="preserve">che rappresenta il reddito medio annuo di cui una persona può disporre, al netto di imposte e contributi, tenendo conto anche di pensioni e trasferimenti pubblici.</w:t>
      </w:r>
    </w:p>
    <w:p>
      <w:pPr>
        <w:numPr>
          <w:ilvl w:val="0"/>
          <w:numId w:val="1001"/>
        </w:numPr>
      </w:pPr>
      <w:r>
        <w:t xml:space="preserve">NB: anche se viene chiamato</w:t>
      </w:r>
      <w:r>
        <w:t xml:space="preserve"> </w:t>
      </w:r>
      <w:r>
        <w:t xml:space="preserve">“Reddito disponibile</w:t>
      </w:r>
      <w:r>
        <w:t xml:space="preserve"> </w:t>
      </w:r>
      <w:r>
        <w:rPr>
          <w:i/>
          <w:iCs/>
        </w:rPr>
        <w:t xml:space="preserve">lordo</w:t>
      </w:r>
      <w:r>
        <w:t xml:space="preserve"> </w:t>
      </w:r>
      <w:r>
        <w:t xml:space="preserve">pro capite”</w:t>
      </w:r>
      <w:r>
        <w:t xml:space="preserve"> </w:t>
      </w:r>
      <w:r>
        <w:t xml:space="preserve">nei documenti Istat, in realta’ è già al netto delle imposte e dei contributi sociali obbligatori, quindi non è lordo in senso fiscale comune, ma nel senso della contabilita’ nazionale.</w:t>
      </w:r>
    </w:p>
    <w:p>
      <w:pPr>
        <w:numPr>
          <w:ilvl w:val="0"/>
          <w:numId w:val="1001"/>
        </w:numPr>
      </w:pPr>
      <w:r>
        <w:t xml:space="preserve">In termini comparativi internazionali, il reddito disponibile pro capite è espresso in unità di potere d’acquisto (Purchasing Power Standard - PPS), che consente di eliminare le differenze di prezzo tra i paesi e di confrontare il potere d’acquisto effettivo dei redditi delle famiglie.</w:t>
      </w:r>
    </w:p>
    <w:p>
      <w:pPr>
        <w:numPr>
          <w:ilvl w:val="0"/>
          <w:numId w:val="1001"/>
        </w:numPr>
      </w:pPr>
      <w:r>
        <w:t xml:space="preserve">(+/- comparabile con)</w:t>
      </w:r>
      <w:r>
        <w:t xml:space="preserve"> </w:t>
      </w:r>
      <w:r>
        <w:rPr>
          <w:b/>
          <w:bCs/>
        </w:rPr>
        <w:t xml:space="preserve">Adjusted gross disposable income of households per capita in PPS</w:t>
      </w:r>
      <w:r>
        <w:t xml:space="preserve"> </w:t>
      </w:r>
      <w:r>
        <w:t xml:space="preserve">-</w:t>
      </w:r>
      <w:r>
        <w:t xml:space="preserve"> </w:t>
      </w:r>
      <w:hyperlink r:id="rId22">
        <w:r>
          <w:rPr>
            <w:rStyle w:val="Hyperlink"/>
          </w:rPr>
          <w:t xml:space="preserve">Eurostat</w:t>
        </w:r>
      </w:hyperlink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autofit"/>
        <w:jc w:val="start"/>
        <w:tblW w:type="pct" w:w="5000"/>
        <w:tblLook w:firstRow="1" w:lastRow="0" w:firstColumn="0" w:lastColumn="0" w:noHBand="0" w:noVBand="1"/>
      </w:tblPr>
      <w:tr>
        <w:trPr>
          <w:cantSplit/>
          <w:trHeight w:val="390" w:hRule="auto"/>
          <w:tblHeader/>
        </w:trPr>
        header1
        <w:tc>
          <w:tcPr>
            <w:gridSpan w:val="4"/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8"/>
                <w:szCs w:val="28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8"/>
                <w:szCs w:val="28"/>
                <w:color w:val="000000"/>
              </w:rPr>
              <w:t xml:space="preserve">Reddito medio disponibile pro capite (€), 2021-2023</w:t>
            </w:r>
          </w:p>
        </w:tc>
      </w:tr>
      <w:tr>
        <w:trPr>
          <w:cantSplit/>
          <w:trHeight w:val="286" w:hRule="auto"/>
          <w:tblHeader/>
        </w:trPr>
        header2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territorio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2021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2022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true"/>
                <w:u w:val="none"/>
                <w:strike w:val="false"/>
                <w:sz w:val="24"/>
                <w:szCs w:val="24"/>
                <w:color w:val="000000"/>
              </w:rPr>
              <w:t xml:space="preserve">2023</w:t>
            </w:r>
          </w:p>
        </w:tc>
      </w:tr>
      <w:tr>
        <w:trPr>
          <w:cantSplit/>
          <w:trHeight w:val="289" w:hRule="auto"/>
        </w:trPr>
        body1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5582A7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Italia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5582A7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20.032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5582A7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21.297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5582A7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22.359</w:t>
            </w:r>
          </w:p>
        </w:tc>
      </w:tr>
      <w:tr>
        <w:trPr>
          <w:cantSplit/>
          <w:trHeight w:val="289" w:hRule="auto"/>
        </w:trPr>
        body2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Nord-ovest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23.438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24.910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26.265</w:t>
            </w:r>
          </w:p>
        </w:tc>
      </w:tr>
      <w:tr>
        <w:trPr>
          <w:cantSplit/>
          <w:trHeight w:val="289" w:hRule="auto"/>
        </w:trPr>
        body3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Nord-est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22.546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23.985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25.172</w:t>
            </w:r>
          </w:p>
        </w:tc>
      </w:tr>
      <w:tr>
        <w:trPr>
          <w:cantSplit/>
          <w:trHeight w:val="337" w:hRule="auto"/>
        </w:trPr>
        body4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Emilia-Romagna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N.D.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24.898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26.073</w:t>
            </w:r>
          </w:p>
        </w:tc>
      </w:tr>
      <w:tr>
        <w:trPr>
          <w:cantSplit/>
          <w:trHeight w:val="282" w:hRule="auto"/>
        </w:trPr>
        body5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B85E6A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Parma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B85E6A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24.381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B85E6A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N.D.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B85E6A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27.083</w:t>
            </w:r>
          </w:p>
        </w:tc>
      </w:tr>
      <w:tr>
        <w:trPr>
          <w:cantSplit/>
          <w:trHeight w:val="282" w:hRule="auto"/>
        </w:trPr>
        body6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Centro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20.897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22.223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23.113</w:t>
            </w:r>
          </w:p>
        </w:tc>
      </w:tr>
      <w:tr>
        <w:trPr>
          <w:cantSplit/>
          <w:trHeight w:val="289" w:hRule="auto"/>
        </w:trPr>
        body7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Sud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15.280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16.213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16.999</w:t>
            </w:r>
          </w:p>
        </w:tc>
      </w:tr>
      <w:tr>
        <w:trPr>
          <w:cantSplit/>
          <w:trHeight w:val="289" w:hRule="auto"/>
        </w:trPr>
        body8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Isole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15.517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16.527</w:t>
            </w:r>
          </w:p>
        </w:tc>
        <w:tc>
          <w:tcPr>
            <w:tcBorders>
              <w:bottom w:val="single" w:sz="4" w:space="0" w:color="A6A6A6"/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false"/>
                <w:b w:val="false"/>
                <w:u w:val="none"/>
                <w:strike w:val="false"/>
                <w:sz w:val="24"/>
                <w:szCs w:val="24"/>
                <w:color w:val="000000"/>
              </w:rPr>
              <w:t xml:space="preserve">17.439</w:t>
            </w:r>
          </w:p>
        </w:tc>
      </w:tr>
      <w:tr>
        <w:trPr>
          <w:cantSplit/>
          <w:trHeight w:val="360" w:hRule="auto"/>
        </w:trPr>
        footer1
        <w:tc>
          <w:tcPr>
            <w:gridSpan w:val="4"/>
            <w:tcBorders>
              <w:bottom w:val="none" w:sz="0" w:space="0" w:color="FFFFFF"/>
              <w:top w:val="single" w:sz="4" w:space="0" w:color="A6A6A6"/>
              <w:left w:val="none" w:sz="0" w:space="0" w:color="FFFFFF"/>
              <w:right w:val="none" w:sz="0" w:space="0" w:color="FFFFFF"/>
            </w:tcBorders>
            <w:shd w:val="clear" w:color="auto" w:fill="F2F2F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80" w:right="80" w:firstLine="0" w:firstLineChars="0"/>
              <w:rPr>
                <w:rFonts w:ascii="Roboto Condensed" w:hAnsi="Helvetica" w:eastAsia="Helvetica" w:cs="Roboto Condensed"/>
                <w:i w:val="true"/>
                <w:b w:val="false"/>
                <w:u w:val="none"/>
                <w:strike w:val="false"/>
                <w:sz w:val="18"/>
                <w:szCs w:val="18"/>
                <w:color w:val="80808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Roboto Condensed" w:hAnsi="Helvetica" w:eastAsia="Helvetica" w:cs="Roboto Condensed"/>
                <w:i w:val="true"/>
                <w:b w:val="false"/>
                <w:u w:val="none"/>
                <w:strike w:val="false"/>
                <w:sz w:val="18"/>
                <w:szCs w:val="18"/>
                <w:color w:val="808080"/>
              </w:rPr>
              <w:t xml:space="preserve">Fonte: Istat, BES (Benessere Equo e Sostenibile), 2025</w:t>
            </w:r>
          </w:p>
        </w:tc>
      </w:tr>
    </w:tbl>
    <w:bookmarkEnd w:id="23"/>
    <w:bookmarkStart w:id="27" w:name="retrib-e-pensioni-medie"/>
    <w:p>
      <w:pPr>
        <w:pStyle w:val="Heading3"/>
      </w:pPr>
      <w:r>
        <w:t xml:space="preserve">Retrib e pensioni medie</w:t>
      </w:r>
    </w:p>
    <w:p>
      <w:pPr>
        <w:pStyle w:val="CaptionedFigure"/>
      </w:pPr>
      <w:r>
        <w:drawing>
          <wp:inline>
            <wp:extent cx="5334000" cy="4000500"/>
            <wp:effectExtent b="0" l="0" r="0" t="0"/>
            <wp:docPr descr="Andamento del Reddito medio disponibile pro capite e Retribuzione media annua dei lavoratori dipendenti in Emilia-Romagna, Italia e Parma (2004-2023)" title="" id="25" name="Picture"/>
            <a:graphic>
              <a:graphicData uri="http://schemas.openxmlformats.org/drawingml/2006/picture">
                <pic:pic>
                  <pic:nvPicPr>
                    <pic:cNvPr descr="index_files/figure-docx/retrib_plot-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Andamento del Reddito medio disponibile pro capite e Retribuzione media annua dei lavoratori dipendenti in Emilia-Romagna, Italia e Parma (2004-2023)</w:t>
      </w:r>
    </w:p>
    <w:bookmarkEnd w:id="27"/>
    <w:bookmarkStart w:id="31" w:name="occupazione"/>
    <w:p>
      <w:pPr>
        <w:pStyle w:val="Heading3"/>
      </w:pPr>
      <w:r>
        <w:t xml:space="preserve">Occupazione</w:t>
      </w:r>
    </w:p>
    <w:p>
      <w:pPr>
        <w:pStyle w:val="FirstParagraph"/>
      </w:pPr>
      <w:r>
        <w:drawing>
          <wp:inline>
            <wp:extent cx="5334000" cy="40005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index_files/figure-docx/occup_plot-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Xe2aeb8de640d45a015548cf98437c820e84e13a"/>
    <w:p>
      <w:pPr>
        <w:pStyle w:val="Heading3"/>
      </w:pPr>
      <w:r>
        <w:t xml:space="preserve">Disoccupazione e mancata partecipazione al lavoro</w:t>
      </w:r>
    </w:p>
    <w:p>
      <w:pPr>
        <w:pStyle w:val="FirstParagraph"/>
      </w:pPr>
      <w:r>
        <w:t xml:space="preserve">Il</w:t>
      </w:r>
      <w:r>
        <w:t xml:space="preserve"> </w:t>
      </w:r>
      <w:r>
        <w:rPr>
          <w:b/>
          <w:bCs/>
        </w:rPr>
        <w:t xml:space="preserve">tasso di mancata partecipazione al lavoro</w:t>
      </w:r>
      <w:r>
        <w:t xml:space="preserve"> </w:t>
      </w:r>
      <w:r>
        <w:t xml:space="preserve">misura il</w:t>
      </w:r>
      <w:r>
        <w:t xml:space="preserve"> </w:t>
      </w:r>
      <w:r>
        <w:rPr>
          <w:i/>
          <w:iCs/>
        </w:rPr>
        <w:t xml:space="preserve">Rapporto tra la somma di disoccupati e inattivi</w:t>
      </w:r>
      <w:r>
        <w:rPr>
          <w:i/>
          <w:iCs/>
        </w:rPr>
        <w:t xml:space="preserve"> </w:t>
      </w:r>
      <w:r>
        <w:rPr>
          <w:i/>
          <w:iCs/>
        </w:rPr>
        <w:t xml:space="preserve">“disponibili”</w:t>
      </w:r>
      <w:r>
        <w:rPr>
          <w:i/>
          <w:iCs/>
        </w:rPr>
        <w:t xml:space="preserve"> </w:t>
      </w:r>
      <w:r>
        <w:rPr>
          <w:i/>
          <w:iCs/>
        </w:rPr>
        <w:t xml:space="preserve">(persone che non hanno cercato lavoro nelle ultime 4 settimane ma sono disponibili a lavorare), e la somma di forze lavoro (insieme di occupati e disoccupati) e inattivi</w:t>
      </w:r>
      <w:r>
        <w:rPr>
          <w:i/>
          <w:iCs/>
        </w:rPr>
        <w:t xml:space="preserve"> </w:t>
      </w:r>
      <w:r>
        <w:rPr>
          <w:i/>
          <w:iCs/>
        </w:rPr>
        <w:t xml:space="preserve">“disponibili”</w:t>
      </w:r>
      <w:r>
        <w:rPr>
          <w:i/>
          <w:iCs/>
        </w:rPr>
        <w:t xml:space="preserve">, riferito alla popolazione tra 15 e 74 anni.</w:t>
      </w:r>
    </w:p>
    <w:p>
      <w:pPr>
        <w:pStyle w:val="BodyText"/>
      </w:pPr>
      <w:r>
        <w:t xml:space="preserve">sono né occupate né in cerca di occupazione (inattivi). Un tasso elevato indica una maggiore difficoltà nel coinvolgimento della popolazione nel mercato del lavoro, il che può essere associato a problemi economici e sociali.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index_files/figure-docx/disoccup_plot-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39" w:name="neet"/>
    <w:p>
      <w:pPr>
        <w:pStyle w:val="Heading3"/>
      </w:pPr>
      <w:r>
        <w:t xml:space="preserve">NEET</w:t>
      </w:r>
    </w:p>
    <w:p>
      <w:pPr>
        <w:pStyle w:val="FirstParagraph"/>
      </w:pPr>
      <w:r>
        <w:t xml:space="preserve">[Dati un po’ incompleti, sarebbe bello approfondire da fonte primaria:</w:t>
      </w:r>
      <w:r>
        <w:t xml:space="preserve"> </w:t>
      </w:r>
      <w:r>
        <w:rPr>
          <w:i/>
          <w:iCs/>
        </w:rPr>
        <w:t xml:space="preserve">Rilevazione sulle Forze di lavoro</w:t>
      </w:r>
      <w:r>
        <w:t xml:space="preserve">]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index_files/figure-docx/neet_plot-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43" w:name="formazione-continua"/>
    <w:p>
      <w:pPr>
        <w:pStyle w:val="Heading3"/>
      </w:pPr>
      <w:r>
        <w:t xml:space="preserve">Formazione continua</w:t>
      </w:r>
    </w:p>
    <w:p>
      <w:pPr>
        <w:pStyle w:val="FirstParagraph"/>
      </w:pPr>
      <w:r>
        <w:t xml:space="preserve">[Dati un po’ incompleti, sarebbe bello approfondire da fonte primaria:</w:t>
      </w:r>
      <w:r>
        <w:t xml:space="preserve"> </w:t>
      </w:r>
      <w:r>
        <w:rPr>
          <w:i/>
          <w:iCs/>
        </w:rPr>
        <w:t xml:space="preserve">Rilevazione sulle Forze di lavoro</w:t>
      </w:r>
      <w:r>
        <w:t xml:space="preserve">]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index_files/figure-docx/formaz_plot-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47" w:name="mobilità-dei-laureati"/>
    <w:p>
      <w:pPr>
        <w:pStyle w:val="Heading3"/>
      </w:pPr>
      <w:r>
        <w:t xml:space="preserve">Mobilità dei laureati</w:t>
      </w:r>
    </w:p>
    <w:p>
      <w:pPr>
        <w:pStyle w:val="FirstParagraph"/>
      </w:pPr>
      <w:r>
        <w:rPr>
          <w:b/>
          <w:bCs/>
        </w:rPr>
        <w:t xml:space="preserve">Mobilità dei laureati italiani (25-39 anni)</w:t>
      </w:r>
      <w:r>
        <w:t xml:space="preserve"> </w:t>
      </w:r>
      <w:r>
        <w:t xml:space="preserve">= Tasso di migratorietà specifico dei laureati italiani di 25-39 anni (differenza tra iscritti e cancellati per trasferimento di residenza/popolazione residente *1000).Sia il numeratore che il denominatore si riferiscono ai cittadini italiani di 25-39 anni con titolo di studio terziario (laurea, AFAM, dottorato). I valori per l’Italia comprendono solo i movimenti da/per l’estero, poiché il saldo migratorio interno a livello nazionale è pari a zero; la disaggregazione territoriale comprende anche i movimenti interni.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index_files/figure-docx/mob_lau_plot-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73" w:name="territorio-e-ambiente"/>
    <w:p>
      <w:pPr>
        <w:pStyle w:val="Heading2"/>
      </w:pPr>
      <w:r>
        <w:t xml:space="preserve">Territorio e ambiente</w:t>
      </w:r>
    </w:p>
    <w:bookmarkStart w:id="52" w:name="servizi-sanitari"/>
    <w:p>
      <w:pPr>
        <w:pStyle w:val="Heading3"/>
      </w:pPr>
      <w:r>
        <w:t xml:space="preserve">Servizi sanitari</w:t>
      </w:r>
    </w:p>
    <w:p>
      <w:pPr>
        <w:pStyle w:val="FirstParagraph"/>
      </w:pPr>
      <w:r>
        <w:drawing>
          <wp:inline>
            <wp:extent cx="5334000" cy="40005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index_files/figure-docx/servizi_san_plot-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6" w:name="servizi-internet"/>
    <w:p>
      <w:pPr>
        <w:pStyle w:val="Heading3"/>
      </w:pPr>
      <w:r>
        <w:t xml:space="preserve">Servizi (internet)</w:t>
      </w:r>
    </w:p>
    <w:p>
      <w:pPr>
        <w:pStyle w:val="FirstParagraph"/>
      </w:pPr>
      <w:r>
        <w:t xml:space="preserve">Più librerie, più musei, più strutture, più verde urbano ecc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index_files/figure-docx/internet_plot-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Start w:id="60" w:name="servizi-raccolta-differenziata"/>
    <w:p>
      <w:pPr>
        <w:pStyle w:val="Heading3"/>
      </w:pPr>
      <w:r>
        <w:t xml:space="preserve">Servizi (raccolta differenziata)</w:t>
      </w:r>
    </w:p>
    <w:p>
      <w:pPr>
        <w:pStyle w:val="FirstParagraph"/>
      </w:pPr>
      <w:r>
        <w:drawing>
          <wp:inline>
            <wp:extent cx="5334000" cy="40005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index_files/figure-docx/raccolta_diff_plot-1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0"/>
    <w:bookmarkStart w:id="64" w:name="servizi-irreg-elettricita"/>
    <w:p>
      <w:pPr>
        <w:pStyle w:val="Heading3"/>
      </w:pPr>
      <w:r>
        <w:t xml:space="preserve">Servizi (irreg elettricita’)</w:t>
      </w:r>
    </w:p>
    <w:p>
      <w:pPr>
        <w:pStyle w:val="FirstParagraph"/>
      </w:pPr>
      <w:r>
        <w:drawing>
          <wp:inline>
            <wp:extent cx="5334000" cy="40005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index_files/figure-docx/irreg_ele_plot-1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4"/>
    <w:bookmarkStart w:id="68" w:name="verde-urbano"/>
    <w:p>
      <w:pPr>
        <w:pStyle w:val="Heading3"/>
      </w:pPr>
      <w:r>
        <w:t xml:space="preserve">Verde urbano</w:t>
      </w:r>
    </w:p>
    <w:p>
      <w:pPr>
        <w:pStyle w:val="FirstParagraph"/>
      </w:pPr>
      <w:r>
        <w:drawing>
          <wp:inline>
            <wp:extent cx="5334000" cy="40005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index_files/figure-docx/verde_plot-1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8"/>
    <w:bookmarkStart w:id="72" w:name="patrimonio-museale-e-culturale"/>
    <w:p>
      <w:pPr>
        <w:pStyle w:val="Heading3"/>
      </w:pPr>
      <w:r>
        <w:t xml:space="preserve">Patrimonio museale e culturale</w:t>
      </w:r>
    </w:p>
    <w:p>
      <w:pPr>
        <w:pStyle w:val="FirstParagraph"/>
      </w:pPr>
      <w:r>
        <w:drawing>
          <wp:inline>
            <wp:extent cx="5334000" cy="40005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index_files/figure-docx/patr_cult_plot-1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2"/>
    <w:bookmarkEnd w:id="73"/>
    <w:bookmarkStart w:id="79" w:name="persone-e-istituzioni"/>
    <w:p>
      <w:pPr>
        <w:pStyle w:val="Heading2"/>
      </w:pPr>
      <w:r>
        <w:t xml:space="preserve">Persone e istituzioni</w:t>
      </w:r>
    </w:p>
    <w:p>
      <w:pPr>
        <w:pStyle w:val="FirstParagraph"/>
      </w:pPr>
      <w:r>
        <w:t xml:space="preserve">CAPITALE SOCIALE: Tessuto sociale vitale con un terzo settore numeroso e ben rappresentato</w:t>
      </w:r>
    </w:p>
    <w:bookmarkStart w:id="77" w:name="ricerca-e-innovazione"/>
    <w:p>
      <w:pPr>
        <w:pStyle w:val="Heading3"/>
      </w:pPr>
      <w:r>
        <w:t xml:space="preserve">Ricerca e innovazione</w:t>
      </w:r>
    </w:p>
    <w:p>
      <w:pPr>
        <w:pStyle w:val="FirstParagraph"/>
      </w:pPr>
      <w:r>
        <w:drawing>
          <wp:inline>
            <wp:extent cx="5334000" cy="40005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index_files/figure-docx/brev_plot-1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7"/>
    <w:bookmarkStart w:id="78" w:name="ia-e-automazione"/>
    <w:p>
      <w:pPr>
        <w:pStyle w:val="Heading3"/>
      </w:pPr>
      <w:r>
        <w:t xml:space="preserve">IA e automazione 🟨</w:t>
      </w:r>
    </w:p>
    <w:p>
      <w:pPr>
        <w:pStyle w:val="FirstParagraph"/>
      </w:pPr>
      <w:r>
        <w:t xml:space="preserve">TBC</w:t>
      </w:r>
    </w:p>
    <w:bookmarkEnd w:id="78"/>
    <w:bookmarkEnd w:id="79"/>
    <w:bookmarkStart w:id="81" w:name="section"/>
    <w:p>
      <w:pPr>
        <w:pStyle w:val="Heading1"/>
      </w:pPr>
      <w:r>
        <w:t xml:space="preserve">____</w:t>
      </w:r>
    </w:p>
    <w:bookmarkStart w:id="80" w:name="render-docx-version"/>
    <w:p>
      <w:pPr>
        <w:pStyle w:val="Heading2"/>
      </w:pPr>
      <w:r>
        <w:t xml:space="preserve">Render docx version</w:t>
      </w:r>
    </w:p>
    <w:bookmarkEnd w:id="80"/>
    <w:bookmarkEnd w:id="8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74" Target="media/rId74.png" /><Relationship Type="http://schemas.openxmlformats.org/officeDocument/2006/relationships/image" Id="rId32" Target="media/rId32.png" /><Relationship Type="http://schemas.openxmlformats.org/officeDocument/2006/relationships/image" Id="rId40" Target="media/rId40.png" /><Relationship Type="http://schemas.openxmlformats.org/officeDocument/2006/relationships/image" Id="rId53" Target="media/rId53.png" /><Relationship Type="http://schemas.openxmlformats.org/officeDocument/2006/relationships/image" Id="rId61" Target="media/rId61.png" /><Relationship Type="http://schemas.openxmlformats.org/officeDocument/2006/relationships/image" Id="rId44" Target="media/rId44.png" /><Relationship Type="http://schemas.openxmlformats.org/officeDocument/2006/relationships/image" Id="rId36" Target="media/rId36.png" /><Relationship Type="http://schemas.openxmlformats.org/officeDocument/2006/relationships/image" Id="rId28" Target="media/rId28.png" /><Relationship Type="http://schemas.openxmlformats.org/officeDocument/2006/relationships/image" Id="rId69" Target="media/rId69.png" /><Relationship Type="http://schemas.openxmlformats.org/officeDocument/2006/relationships/image" Id="rId57" Target="media/rId57.png" /><Relationship Type="http://schemas.openxmlformats.org/officeDocument/2006/relationships/image" Id="rId24" Target="media/rId24.png" /><Relationship Type="http://schemas.openxmlformats.org/officeDocument/2006/relationships/image" Id="rId49" Target="media/rId49.png" /><Relationship Type="http://schemas.openxmlformats.org/officeDocument/2006/relationships/image" Id="rId65" Target="media/rId65.png" /><Relationship Type="http://schemas.openxmlformats.org/officeDocument/2006/relationships/hyperlink" Id="rId22" Target="https://ec.europa.eu/eurostat/databrowser/view/tec00113/default/table?lang=en" TargetMode="External" /><Relationship Type="http://schemas.openxmlformats.org/officeDocument/2006/relationships/hyperlink" Id="rId20" Target="https://esploradati.istat.it/databrowser/#/it/dw/categories/IT1,Z0930TER,1.0/BES_T/IT1,DF_BES_TERRIT_0T,1.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ec.europa.eu/eurostat/databrowser/view/tec00113/default/table?lang=en" TargetMode="External" /><Relationship Type="http://schemas.openxmlformats.org/officeDocument/2006/relationships/hyperlink" Id="rId20" Target="https://esploradati.istat.it/databrowser/#/it/dw/categories/IT1,Z0930TER,1.0/BES_T/IT1,DF_BES_TERRIT_0T,1.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ISTAT - Benessere Equo e Sostenibile (BES)</dc:title>
  <dc:creator/>
  <dc:language>it</dc:language>
  <cp:keywords/>
  <dcterms:created xsi:type="dcterms:W3CDTF">2026-01-01T20:44:32Z</dcterms:created>
  <dcterms:modified xsi:type="dcterms:W3CDTF">2026-01-01T20:44:32Z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ate">
    <vt:lpwstr>01-gennaio-2026</vt:lpwstr>
  </property>
  <property fmtid="{D5CDD505-2E9C-101B-9397-08002B2CF9AE}" pid="4" name="date-format">
    <vt:lpwstr>DD-MMMM-YYYY</vt:lpwstr>
  </property>
  <property fmtid="{D5CDD505-2E9C-101B-9397-08002B2CF9AE}" pid="5" name="execute">
    <vt:lpwstr/>
  </property>
  <property fmtid="{D5CDD505-2E9C-101B-9397-08002B2CF9AE}" pid="6" name="fig-cap-location">
    <vt:lpwstr>top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ubtitle">
    <vt:lpwstr>Aggiornamento 2025</vt:lpwstr>
  </property>
  <property fmtid="{D5CDD505-2E9C-101B-9397-08002B2CF9AE}" pid="12" name="tbl-cap-location">
    <vt:lpwstr>top</vt:lpwstr>
  </property>
  <property fmtid="{D5CDD505-2E9C-101B-9397-08002B2CF9AE}" pid="13" name="toc-title">
    <vt:lpwstr>Indice</vt:lpwstr>
  </property>
</Properties>
</file>